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9C041D">
      <w:pPr>
        <w:pStyle w:val="2"/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0" w:leftChars="0" w:firstLine="0" w:firstLineChars="0"/>
        <w:jc w:val="center"/>
        <w:textAlignment w:val="auto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  <w:lang w:val="en-US" w:eastAsia="zh-CN"/>
        </w:rPr>
        <w:t>供应商</w:t>
      </w:r>
      <w:r>
        <w:rPr>
          <w:rFonts w:hint="eastAsia"/>
          <w:sz w:val="36"/>
          <w:szCs w:val="36"/>
        </w:rPr>
        <w:t>不良行为分类及处理措施</w:t>
      </w:r>
    </w:p>
    <w:p w14:paraId="3A499E6E">
      <w:pPr>
        <w:pStyle w:val="2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 w:ascii="黑体" w:hAnsi="黑体" w:eastAsia="黑体" w:cs="Times New Roman"/>
          <w:color w:val="auto"/>
          <w:kern w:val="44"/>
          <w:sz w:val="28"/>
          <w:szCs w:val="28"/>
          <w:lang w:val="en-US" w:eastAsia="zh-CN" w:bidi="ar-SA"/>
        </w:rPr>
        <w:t>一、</w:t>
      </w:r>
      <w:r>
        <w:rPr>
          <w:rFonts w:hint="eastAsia"/>
          <w:sz w:val="28"/>
          <w:szCs w:val="28"/>
        </w:rPr>
        <w:t>一级不良行为</w:t>
      </w:r>
    </w:p>
    <w:p w14:paraId="4AB70131">
      <w:pPr>
        <w:pStyle w:val="3"/>
        <w:pageBreakBefore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  <w:lang w:val="en-US" w:eastAsia="zh-CN"/>
        </w:rPr>
        <w:t>界定范围</w:t>
      </w:r>
    </w:p>
    <w:p w14:paraId="6314C1CF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6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1.与中航集团各级成员企业投标及履行合同过程中，因集团人员索贿而行贿或主动行贿的，所送钱物价值人民币3万元（含）以上的。</w:t>
      </w:r>
    </w:p>
    <w:p w14:paraId="6694A9A0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6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2.不当披露或者泄露双方约定的应该保密的内容，比如合同价格、购买数量、技术图纸、专利、客户信息等重大敏感信息，对公司造成重大损失的。</w:t>
      </w:r>
    </w:p>
    <w:p w14:paraId="176AF579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6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3.中国政府或相关部门发布的禁止发生交易的企业、团体或组织。</w:t>
      </w:r>
    </w:p>
    <w:p w14:paraId="57BEDBA0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6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4.上级主管部门通报的涉及重大违法、违规事件的供应商。</w:t>
      </w:r>
    </w:p>
    <w:p w14:paraId="108CBFC1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6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5.纪检监察机构认定确实存在问题的供应商。</w:t>
      </w:r>
    </w:p>
    <w:p w14:paraId="3A53CA5A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6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6.引发严重质量事故或生产安全事故的供应商。</w:t>
      </w:r>
    </w:p>
    <w:p w14:paraId="6426E940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6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7.引发突发环境事件、生态损害赔偿等环保事件的供应商。</w:t>
      </w:r>
    </w:p>
    <w:p w14:paraId="0DDFFE86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6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8.因供应商责任引发不稳定事件，或因不良事件经新闻媒介曝光，给公司带来负面影响的供应商。</w:t>
      </w:r>
    </w:p>
    <w:p w14:paraId="152E4AF3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6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9.公司认定须列入一级不良行为供应商的其他情况。</w:t>
      </w:r>
    </w:p>
    <w:p w14:paraId="2E9109BF">
      <w:pPr>
        <w:pStyle w:val="3"/>
        <w:pageBreakBefore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二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处理措施</w:t>
      </w:r>
    </w:p>
    <w:p w14:paraId="569E8A89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6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1.被列入一级不良行为供应商，自列入之日起禁止参与中航集团范围内所有采购项目5年，供应商在参加采购期间发生不良行为的，应取消参与本次采购项目的资格及中选（成交、中标）资格。</w:t>
      </w:r>
    </w:p>
    <w:p w14:paraId="01E93E39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6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2.取消准入资格，处理期满后，如参与采购项目需再次进行供应商准入。</w:t>
      </w:r>
    </w:p>
    <w:p w14:paraId="4D2A4409">
      <w:pPr>
        <w:pStyle w:val="2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 w:cs="Times New Roman"/>
          <w:color w:val="auto"/>
          <w:kern w:val="44"/>
          <w:sz w:val="28"/>
          <w:szCs w:val="28"/>
          <w:lang w:val="en-US" w:eastAsia="zh-CN" w:bidi="ar-SA"/>
        </w:rPr>
        <w:t>二</w:t>
      </w:r>
      <w:r>
        <w:rPr>
          <w:rFonts w:hint="eastAsia" w:ascii="黑体" w:hAnsi="黑体" w:eastAsia="黑体" w:cs="Times New Roman"/>
          <w:color w:val="auto"/>
          <w:kern w:val="44"/>
          <w:sz w:val="28"/>
          <w:szCs w:val="28"/>
          <w:lang w:val="en-US" w:eastAsia="zh-CN" w:bidi="ar-SA"/>
        </w:rPr>
        <w:t>、</w:t>
      </w:r>
      <w:r>
        <w:rPr>
          <w:rFonts w:hint="eastAsia"/>
          <w:sz w:val="28"/>
          <w:szCs w:val="28"/>
        </w:rPr>
        <w:t>二级不良行为</w:t>
      </w:r>
    </w:p>
    <w:p w14:paraId="0022172F">
      <w:pPr>
        <w:pStyle w:val="3"/>
        <w:pageBreakBefore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  <w:lang w:val="en-US" w:eastAsia="zh-CN"/>
        </w:rPr>
        <w:t>界定范围</w:t>
      </w:r>
    </w:p>
    <w:p w14:paraId="54835B04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6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1.与中航集团各级成员企业投标及履行合同过程中，因集团人员索贿而行贿的，所送钱物价值在2万元（含）以上不足3万元的；或主动行贿，所送钱物价值在1万元（含）以上不足3万元的。</w:t>
      </w:r>
    </w:p>
    <w:p w14:paraId="7886912A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6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2.供应商偷工减料，或产品使用劣质原材料、以次充好，造成重大安全隐患或严重影响物资使用寿命的；或供应商产品经检测存在特别严重质量问题，造成公司或者客户商业利益和商业形象受到严重损失的。</w:t>
      </w:r>
    </w:p>
    <w:p w14:paraId="39494A6D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6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3.货物类供应商违法违规转包或违反合同约定分包货物，或工程、服务类供应商违法违规转包或违反合同对主体工程、关键性服务进行分包，造成公司或者客户商业利益和商业形象受到严重损失的。</w:t>
      </w:r>
    </w:p>
    <w:p w14:paraId="5C2709B9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6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4.供应商无正当理由不履行合同义务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导致合同终止的。</w:t>
      </w:r>
    </w:p>
    <w:p w14:paraId="3003F0D1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6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5.供应商未按合同约定履约，对公司造成严重影响的。</w:t>
      </w:r>
    </w:p>
    <w:p w14:paraId="40E8D63F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6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6.公司通过合法途径发现供应商在银行信用、财务状况、产品质量等信息上捏造事实，存在不良信用记录，且对公司存在严重质量、服务及安全隐患的。</w:t>
      </w:r>
    </w:p>
    <w:p w14:paraId="096F3A99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6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7.在采购活动中供应商相互串通或者与采购人及采购相关方串通，妨碍其他供应商竞争，对采购项目造成严重影响的行为，包括但不限于：</w:t>
      </w:r>
    </w:p>
    <w:p w14:paraId="7F9B80D7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6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（1）相互协商报价、技术方案等实质性内容，不同供应商的响应文件异常一致或者报价呈规律性差异；</w:t>
      </w:r>
    </w:p>
    <w:p w14:paraId="1E651738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6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（2）不同供应商的响应文件由同一单位或者个人编制，不同供应商的响应文件载明的联系人员为同一人，不同供应商委托同一单位或者个人办理相关事宜，不同供应商的保证金从同一单位或者个人的账户转出；</w:t>
      </w:r>
    </w:p>
    <w:p w14:paraId="549F62F2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6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（3）不同供应商的响应文件相互混装；</w:t>
      </w:r>
    </w:p>
    <w:p w14:paraId="2EBA82F3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6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（4）约定中选人，约定部分供应商放弃参加采购或者中选；</w:t>
      </w:r>
    </w:p>
    <w:p w14:paraId="74C50B44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6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（5）属于同一集团、协会、商会等组织成员的供应商按照该组织要求协同参与采购项目；</w:t>
      </w:r>
    </w:p>
    <w:p w14:paraId="206A6B2A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6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（6）为谋取中选或者排斥特定供应商而采取联合行动；</w:t>
      </w:r>
    </w:p>
    <w:p w14:paraId="476BAA0D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6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（7）非法获知标底或评审委员会成员信息；</w:t>
      </w:r>
    </w:p>
    <w:p w14:paraId="2CE778B2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6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（8）其他视为供应商串通的情况。</w:t>
      </w:r>
    </w:p>
    <w:p w14:paraId="670B6398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6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8.针对供应商领取（下载）采购文件到采购实施单位发出中选（成交、中标）通知书期间，采购管理平台出现的围串标风险提示，经采购实施单位综合分析后，供应商存在相互串通情形，对采购项目造成严重影响的。</w:t>
      </w:r>
    </w:p>
    <w:p w14:paraId="3CE65B75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6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9.公司认定须列入二级不良行为供应商的其他情况。</w:t>
      </w:r>
    </w:p>
    <w:p w14:paraId="2DF99635">
      <w:pPr>
        <w:pStyle w:val="3"/>
        <w:pageBreakBefore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二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处理措施</w:t>
      </w:r>
    </w:p>
    <w:p w14:paraId="774EDD0A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6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1.被列入二级不良行为供应商的，自列入之日起禁止参与中航集团范围内所有采购项目3年，供应商在参加采购期间发生不良行为的，应取消参与本次采购项目的资格及中选（成交、中标）资格。</w:t>
      </w:r>
    </w:p>
    <w:p w14:paraId="490C985F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6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2.取消准入资格，处理期满后，如参与采购项目需再次进行供应商准入。</w:t>
      </w:r>
    </w:p>
    <w:p w14:paraId="5DE4F183">
      <w:pPr>
        <w:pStyle w:val="2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 w:cs="Times New Roman"/>
          <w:color w:val="auto"/>
          <w:kern w:val="44"/>
          <w:sz w:val="28"/>
          <w:szCs w:val="28"/>
          <w:lang w:val="en-US" w:eastAsia="zh-CN" w:bidi="ar-SA"/>
        </w:rPr>
        <w:t>三</w:t>
      </w:r>
      <w:r>
        <w:rPr>
          <w:rFonts w:hint="eastAsia" w:ascii="黑体" w:hAnsi="黑体" w:eastAsia="黑体" w:cs="Times New Roman"/>
          <w:color w:val="auto"/>
          <w:kern w:val="44"/>
          <w:sz w:val="28"/>
          <w:szCs w:val="28"/>
          <w:lang w:val="en-US" w:eastAsia="zh-CN" w:bidi="ar-SA"/>
        </w:rPr>
        <w:t>、</w:t>
      </w:r>
      <w:r>
        <w:rPr>
          <w:rFonts w:hint="eastAsia"/>
          <w:sz w:val="28"/>
          <w:szCs w:val="28"/>
        </w:rPr>
        <w:t>三级不良行为</w:t>
      </w:r>
    </w:p>
    <w:p w14:paraId="1A422B5C">
      <w:pPr>
        <w:pStyle w:val="3"/>
        <w:pageBreakBefore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  <w:lang w:val="en-US" w:eastAsia="zh-CN"/>
        </w:rPr>
        <w:t>界定范围</w:t>
      </w:r>
    </w:p>
    <w:p w14:paraId="3F34EF80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6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1.与中航集团各级成员企业投标及履行合同过程中，因集团人员索贿而行贿的，所送钱物价值不足2万元的；或主动行贿，所送钱物价值不足1万元的；</w:t>
      </w:r>
    </w:p>
    <w:p w14:paraId="7E7FD693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6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2.对采购人或其他供应商进行恶意诋毁、恶意投诉、威胁、欺骗等行为，对采购项目造成一定影响的。</w:t>
      </w:r>
    </w:p>
    <w:p w14:paraId="414F91E7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6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3.供应商恶意扰乱谈判现场等影响采购活动有序进行等行为，对采购项目造成一定影响的。</w:t>
      </w:r>
    </w:p>
    <w:p w14:paraId="6FEC8AA1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6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在采购活动中供应商故意以他人名义参加采购，或供应商资格审查、准入等资质材料经核实弄虚作假的，包括但不限于使用伪造变造的许可证件，提供虚假的财务状况或者业绩，提供虚假的项目负责人或者主要技术人员简历、劳动关系证明，提供虚假的信用状况以及与检测单位串通伪造检测结果等行为，对采购项目造成一定影响的。</w:t>
      </w:r>
    </w:p>
    <w:p w14:paraId="7EE52D20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6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5.供应商接到中选（成交、中标）通知书后，无正当理由拒绝签署合同、未能按时签订合同、单方面要求放弃中选（成交、中标）资格或不按响应文件及澄清内容承诺签订合同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对采购项目造成一定影响的，其中采购实施单位（合同承办单位）依据合同要求已扣除履约保证金的情形除外。</w:t>
      </w:r>
    </w:p>
    <w:p w14:paraId="33F7B4D2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6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6.供应商响应文件内容经查实弄虚作假的，或者恶意修改采购文件明确列明的技术参数并进行响应，对采购项目造成一定影响的。</w:t>
      </w:r>
    </w:p>
    <w:p w14:paraId="0CBF7898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6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7.供应商提供虚假材料或者以非法手段获得证明材料进行恶意投诉、恶意质疑，对采购项目造成一定影响的。</w:t>
      </w:r>
      <w:bookmarkStart w:id="0" w:name="_GoBack"/>
      <w:bookmarkEnd w:id="0"/>
    </w:p>
    <w:p w14:paraId="2B862B00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6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8.公司认定须列入三级不良行为供应商的其他情况。</w:t>
      </w:r>
    </w:p>
    <w:p w14:paraId="04814F17">
      <w:pPr>
        <w:pStyle w:val="3"/>
        <w:pageBreakBefore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二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处理措施</w:t>
      </w:r>
    </w:p>
    <w:p w14:paraId="17A25BA0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6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1.被列入三级不良行为供应商的，自列入之日起暂停山东翔宇范围内采购项目中标（成交、中选）资格1年，供应商在参加采购期间发生不良行为的，应取消参与本次采购项目的资格及中选（成交、中标）资格。</w:t>
      </w:r>
    </w:p>
    <w:p w14:paraId="57731686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6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2.保留准入资格，根据处理结果限制使用范围。</w:t>
      </w:r>
    </w:p>
    <w:p w14:paraId="653B6A09">
      <w:pPr>
        <w:pStyle w:val="2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 w:cs="Times New Roman"/>
          <w:color w:val="auto"/>
          <w:kern w:val="44"/>
          <w:sz w:val="28"/>
          <w:szCs w:val="28"/>
          <w:lang w:val="en-US" w:eastAsia="zh-CN" w:bidi="ar-SA"/>
        </w:rPr>
        <w:t>四</w:t>
      </w:r>
      <w:r>
        <w:rPr>
          <w:rFonts w:hint="eastAsia" w:ascii="黑体" w:hAnsi="黑体" w:eastAsia="黑体" w:cs="Times New Roman"/>
          <w:color w:val="auto"/>
          <w:kern w:val="44"/>
          <w:sz w:val="28"/>
          <w:szCs w:val="28"/>
          <w:lang w:val="en-US" w:eastAsia="zh-CN" w:bidi="ar-SA"/>
        </w:rPr>
        <w:t>、</w:t>
      </w:r>
      <w:r>
        <w:rPr>
          <w:rFonts w:hint="eastAsia"/>
          <w:sz w:val="28"/>
          <w:szCs w:val="28"/>
        </w:rPr>
        <w:t>警告行为</w:t>
      </w:r>
    </w:p>
    <w:p w14:paraId="71096B6B">
      <w:pPr>
        <w:pStyle w:val="3"/>
        <w:pageBreakBefore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560" w:firstLineChars="200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  <w:lang w:val="en-US" w:eastAsia="zh-CN"/>
        </w:rPr>
        <w:t>界定范围</w:t>
      </w:r>
    </w:p>
    <w:p w14:paraId="26E15F22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6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1.供应商参与采购项目时，递交响应文件后，无正当理由放弃参与采购项目、无正当理由放弃应标或谈判等，其中采购实施单位依据采购文件要求扣除（不退还）投标/谈判保证金的情形除外。</w:t>
      </w:r>
    </w:p>
    <w:p w14:paraId="7D9CE611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6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针对供应商领取（下载）采购文件到采购实施单位发出中选（成交、中标）通知书期间，采购管理平台出现的围串标风险提示，经采购实施单位综合分析后，供应商存在相互串通风险，但不具备判定二级不良行为情形，属于高度疑似情形的。</w:t>
      </w:r>
    </w:p>
    <w:p w14:paraId="035FEB40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6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3.供应商在报名环节采购管理平台出现围串标风险预警提示的，经采购实施单位综合分析，判定为高度疑似的。</w:t>
      </w:r>
    </w:p>
    <w:p w14:paraId="10057953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6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4.结合供应商日常绩效管理，供应商在履约过程中质量、交货、服务等方面出现问题，未造成直接经济损失和不良影响的。</w:t>
      </w:r>
    </w:p>
    <w:p w14:paraId="26CAE7C3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6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5.其他供应商存在的问题，但不具备判定不良行为供应商的情形。</w:t>
      </w:r>
    </w:p>
    <w:p w14:paraId="0E2AB5AF">
      <w:pPr>
        <w:pStyle w:val="3"/>
        <w:pageBreakBefore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二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处理措施</w:t>
      </w:r>
    </w:p>
    <w:p w14:paraId="2DDEA6F1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6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在采购活动中出现问题的供应商，针对发生问题给予其书面警告，应取消参与本次采购项目的资格及中选（成交、中标）资格；在履约过程中出现问题的供应商，针对发生问题给予其书面警告，责令其查明问题原因，提高产品质量、交货周期及服务水平，出具书面调查报告，并按合同约定要求供应商承担违约责任，并要求限期整改。</w:t>
      </w:r>
    </w:p>
    <w:p w14:paraId="7C1E2F14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6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2.针对</w:t>
      </w:r>
      <w:r>
        <w:rPr>
          <w:rFonts w:hint="eastAsia"/>
          <w:sz w:val="28"/>
          <w:szCs w:val="28"/>
          <w:lang w:eastAsia="zh-CN"/>
        </w:rPr>
        <w:t>山东翔宇</w:t>
      </w:r>
      <w:r>
        <w:rPr>
          <w:rFonts w:hint="eastAsia"/>
          <w:sz w:val="28"/>
          <w:szCs w:val="28"/>
        </w:rPr>
        <w:t>范围内的供应商警告处罚，在一年内，如对其再次给予警告处罚，自动升级为三级不良行为供应商。</w:t>
      </w:r>
    </w:p>
    <w:p w14:paraId="69DF5A22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36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3.保留准入资格，根据处理结果限制使用范围。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16"/>
      </w:pPr>
      <w:r>
        <w:separator/>
      </w:r>
    </w:p>
  </w:endnote>
  <w:endnote w:type="continuationSeparator" w:id="1">
    <w:p>
      <w:pPr>
        <w:spacing w:line="240" w:lineRule="auto"/>
        <w:ind w:firstLine="616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16"/>
      </w:pPr>
      <w:r>
        <w:separator/>
      </w:r>
    </w:p>
  </w:footnote>
  <w:footnote w:type="continuationSeparator" w:id="1">
    <w:p>
      <w:pPr>
        <w:spacing w:line="240" w:lineRule="auto"/>
        <w:ind w:firstLine="616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FD899A"/>
    <w:multiLevelType w:val="multilevel"/>
    <w:tmpl w:val="54FD899A"/>
    <w:lvl w:ilvl="0" w:tentative="0">
      <w:start w:val="1"/>
      <w:numFmt w:val="chineseCounting"/>
      <w:pStyle w:val="2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 w:eastAsia="黑体"/>
        <w:sz w:val="32"/>
        <w:szCs w:val="32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tabs>
          <w:tab w:val="left" w:pos="0"/>
        </w:tabs>
        <w:ind w:left="0" w:firstLine="0"/>
      </w:pPr>
      <w:rPr>
        <w:rFonts w:hint="eastAsia" w:eastAsia="楷体"/>
        <w:sz w:val="32"/>
        <w:szCs w:val="32"/>
      </w:rPr>
    </w:lvl>
    <w:lvl w:ilvl="2" w:tentative="0">
      <w:start w:val="1"/>
      <w:numFmt w:val="decimal"/>
      <w:pStyle w:val="5"/>
      <w:suff w:val="nothing"/>
      <w:lvlText w:val="%3．"/>
      <w:lvlJc w:val="left"/>
      <w:pPr>
        <w:tabs>
          <w:tab w:val="left" w:pos="0"/>
        </w:tabs>
        <w:ind w:left="0" w:firstLine="400"/>
      </w:pPr>
      <w:rPr>
        <w:rFonts w:hint="eastAsia"/>
        <w:sz w:val="32"/>
        <w:szCs w:val="32"/>
      </w:rPr>
    </w:lvl>
    <w:lvl w:ilvl="3" w:tentative="0">
      <w:start w:val="1"/>
      <w:numFmt w:val="decimal"/>
      <w:pStyle w:val="6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7"/>
      <w:suff w:val="nothing"/>
      <w:lvlText w:val="%5 "/>
      <w:lvlJc w:val="left"/>
      <w:pPr>
        <w:tabs>
          <w:tab w:val="left" w:pos="0"/>
        </w:tabs>
        <w:ind w:left="0" w:firstLine="402"/>
      </w:pPr>
      <w:rPr>
        <w:rFonts w:hint="eastAsia"/>
      </w:rPr>
    </w:lvl>
    <w:lvl w:ilvl="5" w:tentative="0">
      <w:start w:val="1"/>
      <w:numFmt w:val="decimal"/>
      <w:pStyle w:val="8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9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10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1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1">
    <w:nsid w:val="5B01D43E"/>
    <w:multiLevelType w:val="singleLevel"/>
    <w:tmpl w:val="5B01D43E"/>
    <w:lvl w:ilvl="0" w:tentative="0">
      <w:start w:val="1"/>
      <w:numFmt w:val="bullet"/>
      <w:pStyle w:val="15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EF7A9C"/>
    <w:rsid w:val="256E60E2"/>
    <w:rsid w:val="31D53C4D"/>
    <w:rsid w:val="378A1E72"/>
    <w:rsid w:val="3CDF7907"/>
    <w:rsid w:val="496C5FED"/>
    <w:rsid w:val="4AEF7A9C"/>
    <w:rsid w:val="59BE5C9E"/>
    <w:rsid w:val="5B2E6224"/>
    <w:rsid w:val="76984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576" w:lineRule="exact"/>
      <w:ind w:firstLine="1454" w:firstLineChars="200"/>
      <w:jc w:val="both"/>
    </w:pPr>
    <w:rPr>
      <w:rFonts w:ascii="仿宋" w:hAnsi="仿宋" w:eastAsia="仿宋" w:cs="Times New Roman"/>
      <w:color w:val="auto"/>
      <w:spacing w:val="-6"/>
      <w:kern w:val="2"/>
      <w:sz w:val="32"/>
      <w:szCs w:val="32"/>
      <w:lang w:val="en-US" w:eastAsia="zh-CN" w:bidi="ar-SA"/>
    </w:rPr>
  </w:style>
  <w:style w:type="paragraph" w:styleId="2">
    <w:name w:val="heading 1"/>
    <w:next w:val="1"/>
    <w:link w:val="60"/>
    <w:qFormat/>
    <w:uiPriority w:val="0"/>
    <w:pPr>
      <w:keepNext/>
      <w:keepLines/>
      <w:numPr>
        <w:ilvl w:val="0"/>
        <w:numId w:val="1"/>
      </w:numPr>
      <w:adjustRightInd w:val="0"/>
      <w:snapToGrid w:val="0"/>
      <w:spacing w:line="576" w:lineRule="exact"/>
      <w:ind w:firstLine="894" w:firstLineChars="200"/>
      <w:outlineLvl w:val="0"/>
    </w:pPr>
    <w:rPr>
      <w:rFonts w:ascii="黑体" w:hAnsi="黑体" w:eastAsia="黑体" w:cs="Times New Roman"/>
      <w:color w:val="auto"/>
      <w:kern w:val="44"/>
      <w:sz w:val="32"/>
      <w:szCs w:val="32"/>
      <w:lang w:val="en-US" w:eastAsia="zh-CN" w:bidi="ar-SA"/>
    </w:rPr>
  </w:style>
  <w:style w:type="paragraph" w:styleId="3">
    <w:name w:val="heading 2"/>
    <w:next w:val="4"/>
    <w:unhideWhenUsed/>
    <w:qFormat/>
    <w:uiPriority w:val="0"/>
    <w:pPr>
      <w:keepNext/>
      <w:keepLines/>
      <w:numPr>
        <w:ilvl w:val="1"/>
        <w:numId w:val="1"/>
      </w:numPr>
      <w:adjustRightInd w:val="0"/>
      <w:snapToGrid w:val="0"/>
      <w:spacing w:line="576" w:lineRule="exact"/>
      <w:ind w:firstLine="0" w:firstLineChars="0"/>
      <w:outlineLvl w:val="1"/>
    </w:pPr>
    <w:rPr>
      <w:rFonts w:ascii="楷体" w:hAnsi="楷体" w:eastAsia="楷体" w:cs="Times New Roman"/>
      <w:color w:val="auto"/>
      <w:sz w:val="32"/>
      <w:szCs w:val="32"/>
      <w:lang w:val="en-US" w:eastAsia="zh-CN" w:bidi="ar-SA"/>
    </w:rPr>
  </w:style>
  <w:style w:type="paragraph" w:styleId="5">
    <w:name w:val="heading 3"/>
    <w:next w:val="4"/>
    <w:unhideWhenUsed/>
    <w:qFormat/>
    <w:uiPriority w:val="0"/>
    <w:pPr>
      <w:keepNext/>
      <w:keepLines/>
      <w:numPr>
        <w:ilvl w:val="2"/>
        <w:numId w:val="1"/>
      </w:numPr>
      <w:tabs>
        <w:tab w:val="left" w:pos="312"/>
        <w:tab w:val="clear" w:pos="0"/>
      </w:tabs>
      <w:adjustRightInd w:val="0"/>
      <w:snapToGrid w:val="0"/>
      <w:spacing w:line="576" w:lineRule="exact"/>
      <w:ind w:firstLine="400" w:firstLineChars="0"/>
      <w:outlineLvl w:val="2"/>
    </w:pPr>
    <w:rPr>
      <w:rFonts w:ascii="仿宋" w:hAnsi="仿宋" w:eastAsia="仿宋" w:cs="Times New Roman"/>
      <w:color w:val="auto"/>
      <w:sz w:val="32"/>
      <w:szCs w:val="32"/>
      <w:lang w:val="en-US" w:eastAsia="zh-CN" w:bidi="ar-SA"/>
    </w:rPr>
  </w:style>
  <w:style w:type="paragraph" w:styleId="6">
    <w:name w:val="heading 4"/>
    <w:next w:val="4"/>
    <w:link w:val="45"/>
    <w:unhideWhenUsed/>
    <w:qFormat/>
    <w:uiPriority w:val="0"/>
    <w:pPr>
      <w:keepNext/>
      <w:keepLines/>
      <w:numPr>
        <w:ilvl w:val="3"/>
        <w:numId w:val="1"/>
      </w:numPr>
      <w:adjustRightInd w:val="0"/>
      <w:snapToGrid w:val="0"/>
      <w:spacing w:line="576" w:lineRule="exact"/>
      <w:ind w:firstLine="402" w:firstLineChars="0"/>
      <w:outlineLvl w:val="3"/>
    </w:pPr>
    <w:rPr>
      <w:rFonts w:ascii="仿宋" w:hAnsi="仿宋" w:eastAsia="仿宋" w:cs="Times New Roman"/>
      <w:color w:val="auto"/>
      <w:sz w:val="32"/>
      <w:szCs w:val="32"/>
    </w:rPr>
  </w:style>
  <w:style w:type="paragraph" w:styleId="7">
    <w:name w:val="heading 5"/>
    <w:next w:val="4"/>
    <w:unhideWhenUsed/>
    <w:qFormat/>
    <w:uiPriority w:val="0"/>
    <w:pPr>
      <w:numPr>
        <w:ilvl w:val="4"/>
        <w:numId w:val="1"/>
      </w:numPr>
      <w:adjustRightInd w:val="0"/>
      <w:snapToGrid w:val="0"/>
      <w:spacing w:line="576" w:lineRule="exact"/>
      <w:ind w:firstLine="402" w:firstLineChars="0"/>
      <w:outlineLvl w:val="4"/>
    </w:pPr>
    <w:rPr>
      <w:rFonts w:ascii="仿宋" w:hAnsi="仿宋" w:eastAsia="仿宋" w:cs="Times New Roman"/>
      <w:color w:val="auto"/>
      <w:sz w:val="32"/>
      <w:szCs w:val="32"/>
      <w:lang w:val="en-US" w:eastAsia="zh-CN" w:bidi="ar-SA"/>
    </w:rPr>
  </w:style>
  <w:style w:type="paragraph" w:styleId="8">
    <w:name w:val="heading 6"/>
    <w:next w:val="4"/>
    <w:unhideWhenUsed/>
    <w:qFormat/>
    <w:uiPriority w:val="0"/>
    <w:pPr>
      <w:numPr>
        <w:ilvl w:val="5"/>
        <w:numId w:val="1"/>
      </w:numPr>
      <w:adjustRightInd w:val="0"/>
      <w:snapToGrid w:val="0"/>
      <w:spacing w:line="576" w:lineRule="exact"/>
      <w:ind w:firstLine="402" w:firstLineChars="0"/>
      <w:outlineLvl w:val="5"/>
    </w:pPr>
    <w:rPr>
      <w:rFonts w:ascii="仿宋" w:hAnsi="仿宋" w:eastAsia="仿宋" w:cs="Times New Roman"/>
      <w:color w:val="auto"/>
      <w:sz w:val="32"/>
      <w:szCs w:val="32"/>
      <w:lang w:val="en-US" w:eastAsia="zh-CN" w:bidi="ar-SA"/>
    </w:rPr>
  </w:style>
  <w:style w:type="paragraph" w:styleId="9">
    <w:name w:val="heading 7"/>
    <w:next w:val="4"/>
    <w:unhideWhenUsed/>
    <w:qFormat/>
    <w:uiPriority w:val="0"/>
    <w:pPr>
      <w:numPr>
        <w:ilvl w:val="6"/>
        <w:numId w:val="1"/>
      </w:numPr>
      <w:adjustRightInd w:val="0"/>
      <w:snapToGrid w:val="0"/>
      <w:spacing w:line="576" w:lineRule="exact"/>
      <w:ind w:firstLine="402" w:firstLineChars="0"/>
      <w:outlineLvl w:val="6"/>
    </w:pPr>
    <w:rPr>
      <w:rFonts w:ascii="仿宋" w:hAnsi="仿宋" w:eastAsia="仿宋" w:cs="Times New Roman"/>
      <w:color w:val="auto"/>
      <w:sz w:val="32"/>
      <w:szCs w:val="32"/>
      <w:lang w:val="en-US" w:eastAsia="zh-CN" w:bidi="ar-SA"/>
    </w:rPr>
  </w:style>
  <w:style w:type="paragraph" w:styleId="10">
    <w:name w:val="heading 8"/>
    <w:next w:val="4"/>
    <w:unhideWhenUsed/>
    <w:qFormat/>
    <w:uiPriority w:val="0"/>
    <w:pPr>
      <w:numPr>
        <w:ilvl w:val="7"/>
        <w:numId w:val="1"/>
      </w:numPr>
      <w:adjustRightInd w:val="0"/>
      <w:snapToGrid w:val="0"/>
      <w:spacing w:line="576" w:lineRule="exact"/>
      <w:ind w:firstLine="402" w:firstLineChars="0"/>
      <w:outlineLvl w:val="7"/>
    </w:pPr>
    <w:rPr>
      <w:rFonts w:ascii="仿宋" w:hAnsi="仿宋" w:eastAsia="仿宋" w:cs="Times New Roman"/>
      <w:color w:val="auto"/>
      <w:sz w:val="32"/>
      <w:szCs w:val="32"/>
      <w:lang w:val="en-US" w:eastAsia="zh-CN" w:bidi="ar-SA"/>
    </w:rPr>
  </w:style>
  <w:style w:type="paragraph" w:styleId="11">
    <w:name w:val="heading 9"/>
    <w:next w:val="4"/>
    <w:unhideWhenUsed/>
    <w:qFormat/>
    <w:uiPriority w:val="0"/>
    <w:pPr>
      <w:numPr>
        <w:ilvl w:val="8"/>
        <w:numId w:val="1"/>
      </w:numPr>
      <w:adjustRightInd w:val="0"/>
      <w:snapToGrid w:val="0"/>
      <w:spacing w:line="576" w:lineRule="exact"/>
      <w:ind w:firstLine="402" w:firstLineChars="0"/>
      <w:outlineLvl w:val="8"/>
    </w:pPr>
    <w:rPr>
      <w:rFonts w:ascii="仿宋" w:hAnsi="仿宋" w:eastAsia="仿宋" w:cs="Times New Roman"/>
      <w:color w:val="auto"/>
      <w:sz w:val="32"/>
      <w:szCs w:val="32"/>
      <w:lang w:val="en-US" w:eastAsia="zh-CN" w:bidi="ar-SA"/>
    </w:rPr>
  </w:style>
  <w:style w:type="character" w:default="1" w:styleId="35">
    <w:name w:val="Default Paragraph Font"/>
    <w:semiHidden/>
    <w:unhideWhenUsed/>
    <w:qFormat/>
    <w:uiPriority w:val="1"/>
  </w:style>
  <w:style w:type="table" w:default="1" w:styleId="3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link w:val="54"/>
    <w:qFormat/>
    <w:uiPriority w:val="0"/>
    <w:pPr>
      <w:adjustRightInd w:val="0"/>
      <w:snapToGrid w:val="0"/>
      <w:spacing w:line="576" w:lineRule="exact"/>
      <w:ind w:firstLine="630" w:firstLineChars="200"/>
    </w:pPr>
    <w:rPr>
      <w:rFonts w:ascii="仿宋" w:hAnsi="仿宋" w:eastAsia="仿宋" w:cs="Times New Roman"/>
      <w:color w:val="auto"/>
      <w:spacing w:val="-6"/>
      <w:sz w:val="32"/>
      <w:szCs w:val="32"/>
    </w:rPr>
  </w:style>
  <w:style w:type="paragraph" w:styleId="12">
    <w:name w:val="caption"/>
    <w:basedOn w:val="1"/>
    <w:next w:val="1"/>
    <w:unhideWhenUsed/>
    <w:qFormat/>
    <w:uiPriority w:val="0"/>
    <w:pPr>
      <w:ind w:firstLine="0" w:firstLineChars="0"/>
    </w:pPr>
    <w:rPr>
      <w:rFonts w:cs="仿宋"/>
      <w:sz w:val="20"/>
    </w:rPr>
  </w:style>
  <w:style w:type="paragraph" w:styleId="13">
    <w:name w:val="annotation text"/>
    <w:basedOn w:val="1"/>
    <w:qFormat/>
    <w:uiPriority w:val="0"/>
    <w:pPr>
      <w:jc w:val="left"/>
    </w:pPr>
    <w:rPr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4">
    <w:name w:val="Salutation"/>
    <w:basedOn w:val="1"/>
    <w:next w:val="1"/>
    <w:qFormat/>
    <w:uiPriority w:val="0"/>
    <w:pPr>
      <w:ind w:firstLine="0" w:firstLineChars="0"/>
    </w:pPr>
    <w:rPr>
      <w:color w:val="auto"/>
    </w:rPr>
  </w:style>
  <w:style w:type="paragraph" w:styleId="15">
    <w:name w:val="List Bullet 3"/>
    <w:basedOn w:val="1"/>
    <w:qFormat/>
    <w:uiPriority w:val="0"/>
    <w:pPr>
      <w:numPr>
        <w:ilvl w:val="0"/>
        <w:numId w:val="2"/>
      </w:numPr>
    </w:pPr>
    <w:rPr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6">
    <w:name w:val="toc 5"/>
    <w:basedOn w:val="1"/>
    <w:next w:val="1"/>
    <w:qFormat/>
    <w:uiPriority w:val="0"/>
    <w:pPr>
      <w:ind w:left="1680" w:leftChars="800"/>
    </w:pPr>
    <w:rPr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7">
    <w:name w:val="toc 3"/>
    <w:basedOn w:val="1"/>
    <w:next w:val="1"/>
    <w:qFormat/>
    <w:uiPriority w:val="0"/>
    <w:pPr>
      <w:ind w:left="840" w:leftChars="400"/>
    </w:pPr>
    <w:rPr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8">
    <w:name w:val="Plain Text"/>
    <w:basedOn w:val="1"/>
    <w:qFormat/>
    <w:uiPriority w:val="0"/>
    <w:rPr>
      <w:rFonts w:ascii="宋体" w:hAnsi="Courier New"/>
      <w:snapToGrid w:val="0"/>
      <w:color w:val="262626" w:themeColor="text1" w:themeTint="D9"/>
      <w:kern w:val="0"/>
      <w:sz w:val="20"/>
      <w:szCs w:val="21"/>
      <w:lang w:val="zh-CN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9">
    <w:name w:val="Date"/>
    <w:basedOn w:val="1"/>
    <w:next w:val="1"/>
    <w:qFormat/>
    <w:uiPriority w:val="0"/>
    <w:pPr>
      <w:ind w:firstLine="0" w:firstLineChars="0"/>
      <w:jc w:val="right"/>
    </w:pPr>
    <w:rPr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20">
    <w:name w:val="endnote text"/>
    <w:basedOn w:val="1"/>
    <w:qFormat/>
    <w:uiPriority w:val="0"/>
    <w:pPr>
      <w:jc w:val="left"/>
    </w:pPr>
    <w:rPr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21">
    <w:name w:val="Balloon Text"/>
    <w:basedOn w:val="1"/>
    <w:qFormat/>
    <w:uiPriority w:val="0"/>
    <w:rPr>
      <w:sz w:val="18"/>
      <w:szCs w:val="18"/>
    </w:rPr>
  </w:style>
  <w:style w:type="paragraph" w:styleId="22">
    <w:name w:val="footer"/>
    <w:basedOn w:val="1"/>
    <w:qFormat/>
    <w:uiPriority w:val="0"/>
    <w:pPr>
      <w:tabs>
        <w:tab w:val="center" w:pos="4153"/>
        <w:tab w:val="right" w:pos="8306"/>
      </w:tabs>
      <w:ind w:firstLine="0" w:firstLineChars="0"/>
      <w:jc w:val="left"/>
    </w:pPr>
    <w:rPr>
      <w:sz w:val="18"/>
      <w:szCs w:val="18"/>
    </w:rPr>
  </w:style>
  <w:style w:type="paragraph" w:styleId="2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pacing w:line="240" w:lineRule="auto"/>
      <w:ind w:firstLine="0" w:firstLineChars="0"/>
    </w:pPr>
    <w:rPr>
      <w:sz w:val="18"/>
      <w:szCs w:val="18"/>
    </w:rPr>
  </w:style>
  <w:style w:type="paragraph" w:styleId="24">
    <w:name w:val="Signature"/>
    <w:basedOn w:val="1"/>
    <w:qFormat/>
    <w:uiPriority w:val="0"/>
    <w:pPr>
      <w:ind w:firstLine="0" w:firstLineChars="0"/>
      <w:jc w:val="right"/>
    </w:pPr>
    <w:rPr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25">
    <w:name w:val="toc 1"/>
    <w:basedOn w:val="1"/>
    <w:next w:val="1"/>
    <w:qFormat/>
    <w:uiPriority w:val="0"/>
    <w:rPr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26">
    <w:name w:val="toc 4"/>
    <w:basedOn w:val="1"/>
    <w:next w:val="1"/>
    <w:qFormat/>
    <w:uiPriority w:val="0"/>
    <w:pPr>
      <w:ind w:left="1260" w:leftChars="600"/>
    </w:pPr>
    <w:rPr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27">
    <w:name w:val="Subtitle"/>
    <w:next w:val="4"/>
    <w:link w:val="47"/>
    <w:qFormat/>
    <w:uiPriority w:val="0"/>
    <w:pPr>
      <w:adjustRightInd w:val="0"/>
      <w:snapToGrid w:val="0"/>
      <w:spacing w:line="720" w:lineRule="exact"/>
      <w:jc w:val="center"/>
      <w:outlineLvl w:val="1"/>
    </w:pPr>
    <w:rPr>
      <w:rFonts w:ascii="黑体" w:hAnsi="黑体" w:eastAsia="黑体" w:cs="Times New Roman"/>
      <w:color w:val="auto"/>
      <w:kern w:val="28"/>
      <w:sz w:val="36"/>
      <w:szCs w:val="36"/>
    </w:rPr>
  </w:style>
  <w:style w:type="paragraph" w:styleId="28">
    <w:name w:val="footnote text"/>
    <w:basedOn w:val="1"/>
    <w:qFormat/>
    <w:uiPriority w:val="0"/>
    <w:pPr>
      <w:jc w:val="left"/>
    </w:pPr>
    <w:rPr>
      <w:sz w:val="18"/>
      <w:szCs w:val="18"/>
    </w:rPr>
  </w:style>
  <w:style w:type="paragraph" w:styleId="29">
    <w:name w:val="toc 2"/>
    <w:basedOn w:val="1"/>
    <w:next w:val="1"/>
    <w:qFormat/>
    <w:uiPriority w:val="0"/>
    <w:pPr>
      <w:ind w:left="420" w:leftChars="200"/>
    </w:pPr>
    <w:rPr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30">
    <w:name w:val="Normal (Web)"/>
    <w:basedOn w:val="1"/>
    <w:qFormat/>
    <w:uiPriority w:val="0"/>
    <w:rPr>
      <w:sz w:val="24"/>
      <w:szCs w:val="24"/>
    </w:rPr>
  </w:style>
  <w:style w:type="paragraph" w:styleId="31">
    <w:name w:val="Title"/>
    <w:link w:val="55"/>
    <w:qFormat/>
    <w:uiPriority w:val="0"/>
    <w:pPr>
      <w:adjustRightInd w:val="0"/>
      <w:snapToGrid w:val="0"/>
      <w:spacing w:after="296" w:line="720" w:lineRule="exact"/>
      <w:jc w:val="center"/>
      <w:outlineLvl w:val="0"/>
    </w:pPr>
    <w:rPr>
      <w:rFonts w:ascii="方正小标宋简体" w:hAnsi="方正小标宋简体" w:eastAsia="方正小标宋简体" w:cs="Times New Roman"/>
      <w:color w:val="262626" w:themeColor="text1" w:themeTint="D9"/>
      <w:sz w:val="44"/>
      <w:szCs w:val="44"/>
      <w:lang w:val="en-US" w:eastAsia="zh-CN" w:bidi="ar-SA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32">
    <w:name w:val="annotation subject"/>
    <w:basedOn w:val="13"/>
    <w:next w:val="13"/>
    <w:qFormat/>
    <w:uiPriority w:val="0"/>
    <w:rPr>
      <w:b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styleId="34">
    <w:name w:val="Table Grid"/>
    <w:basedOn w:val="3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6">
    <w:name w:val="Strong"/>
    <w:qFormat/>
    <w:uiPriority w:val="0"/>
    <w:rPr>
      <w:rFonts w:ascii="仿宋" w:hAnsi="仿宋" w:eastAsia="仿宋" w:cs="Times New Roman"/>
      <w:b/>
      <w:bCs/>
      <w:color w:val="262626" w:themeColor="text1" w:themeTint="D9"/>
      <w:spacing w:val="-6"/>
      <w:kern w:val="2"/>
      <w:sz w:val="32"/>
      <w:szCs w:val="32"/>
      <w:u w:val="single"/>
      <w:lang w:val="en-US" w:eastAsia="zh-CN" w:bidi="ar-SA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styleId="37">
    <w:name w:val="endnote reference"/>
    <w:basedOn w:val="35"/>
    <w:qFormat/>
    <w:uiPriority w:val="0"/>
    <w:rPr>
      <w:rFonts w:ascii="仿宋" w:hAnsi="仿宋" w:eastAsia="仿宋"/>
      <w:color w:val="262626" w:themeColor="text1" w:themeTint="D9"/>
      <w:vertAlign w:val="superscript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styleId="38">
    <w:name w:val="page number"/>
    <w:qFormat/>
    <w:uiPriority w:val="0"/>
    <w:rPr>
      <w:rFonts w:ascii="宋体" w:hAnsi="宋体" w:eastAsia="宋体" w:cs="Times New Roman"/>
      <w:color w:val="262626" w:themeColor="text1" w:themeTint="D9"/>
      <w:spacing w:val="-6"/>
      <w:kern w:val="2"/>
      <w:sz w:val="28"/>
      <w:szCs w:val="28"/>
      <w:lang w:val="en-US" w:eastAsia="zh-CN" w:bidi="ar-SA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styleId="39">
    <w:name w:val="FollowedHyperlink"/>
    <w:basedOn w:val="35"/>
    <w:qFormat/>
    <w:uiPriority w:val="0"/>
    <w:rPr>
      <w:rFonts w:ascii="仿宋" w:hAnsi="仿宋" w:eastAsia="仿宋" w:cs="Times New Roman"/>
      <w:color w:val="800080"/>
      <w:spacing w:val="-6"/>
      <w:kern w:val="2"/>
      <w:sz w:val="32"/>
      <w:szCs w:val="32"/>
      <w:u w:val="single"/>
      <w:lang w:val="en-US" w:eastAsia="zh-CN" w:bidi="ar-SA"/>
    </w:rPr>
  </w:style>
  <w:style w:type="character" w:styleId="40">
    <w:name w:val="Emphasis"/>
    <w:qFormat/>
    <w:uiPriority w:val="0"/>
    <w:rPr>
      <w:rFonts w:ascii="仿宋" w:hAnsi="仿宋" w:eastAsia="仿宋" w:cs="Times New Roman"/>
      <w:b/>
      <w:bCs/>
      <w:color w:val="262626" w:themeColor="text1" w:themeTint="D9"/>
      <w:spacing w:val="-6"/>
      <w:kern w:val="2"/>
      <w:sz w:val="32"/>
      <w:szCs w:val="32"/>
      <w:lang w:val="en-US" w:eastAsia="zh-CN" w:bidi="ar-SA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styleId="41">
    <w:name w:val="Hyperlink"/>
    <w:basedOn w:val="35"/>
    <w:qFormat/>
    <w:uiPriority w:val="0"/>
    <w:rPr>
      <w:rFonts w:ascii="仿宋" w:hAnsi="仿宋" w:eastAsia="仿宋" w:cs="Times New Roman"/>
      <w:caps/>
      <w:color w:val="0000FF"/>
      <w:spacing w:val="-6"/>
      <w:kern w:val="2"/>
      <w:sz w:val="32"/>
      <w:szCs w:val="32"/>
      <w:u w:val="single"/>
      <w:lang w:val="en-US" w:eastAsia="zh-CN" w:bidi="ar-SA"/>
    </w:rPr>
  </w:style>
  <w:style w:type="character" w:styleId="42">
    <w:name w:val="annotation reference"/>
    <w:basedOn w:val="35"/>
    <w:qFormat/>
    <w:uiPriority w:val="0"/>
    <w:rPr>
      <w:rFonts w:ascii="仿宋" w:hAnsi="仿宋" w:eastAsia="仿宋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styleId="43">
    <w:name w:val="footnote reference"/>
    <w:basedOn w:val="35"/>
    <w:qFormat/>
    <w:uiPriority w:val="0"/>
    <w:rPr>
      <w:rFonts w:ascii="仿宋" w:hAnsi="仿宋" w:eastAsia="仿宋"/>
      <w:color w:val="262626" w:themeColor="text1" w:themeTint="D9"/>
      <w:vertAlign w:val="superscript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44">
    <w:name w:val="目录标题"/>
    <w:qFormat/>
    <w:uiPriority w:val="0"/>
    <w:pPr>
      <w:adjustRightInd w:val="0"/>
      <w:jc w:val="center"/>
      <w:textAlignment w:val="center"/>
    </w:pPr>
    <w:rPr>
      <w:rFonts w:ascii="黑体" w:hAnsi="黑体" w:eastAsia="黑体" w:cs="Times New Roman"/>
      <w:color w:val="auto"/>
      <w:sz w:val="32"/>
      <w:szCs w:val="32"/>
      <w:lang w:val="en-US" w:eastAsia="zh-CN" w:bidi="ar-SA"/>
    </w:rPr>
  </w:style>
  <w:style w:type="character" w:customStyle="1" w:styleId="45">
    <w:name w:val="标题 4 字符"/>
    <w:link w:val="6"/>
    <w:qFormat/>
    <w:uiPriority w:val="9"/>
    <w:rPr>
      <w:rFonts w:ascii="仿宋" w:hAnsi="仿宋" w:eastAsia="仿宋" w:cs="Times New Roman"/>
      <w:color w:val="auto"/>
      <w:sz w:val="32"/>
      <w:szCs w:val="32"/>
    </w:rPr>
  </w:style>
  <w:style w:type="paragraph" w:customStyle="1" w:styleId="46">
    <w:name w:val="章标题"/>
    <w:basedOn w:val="1"/>
    <w:next w:val="1"/>
    <w:qFormat/>
    <w:uiPriority w:val="0"/>
    <w:pPr>
      <w:spacing w:line="720" w:lineRule="exact"/>
      <w:ind w:firstLine="0" w:firstLineChars="0"/>
      <w:jc w:val="center"/>
      <w:outlineLvl w:val="0"/>
    </w:pPr>
    <w:rPr>
      <w:rFonts w:hint="eastAsia" w:ascii="黑体" w:hAnsi="黑体" w:eastAsia="黑体"/>
      <w:kern w:val="44"/>
      <w:sz w:val="36"/>
      <w:szCs w:val="36"/>
    </w:rPr>
  </w:style>
  <w:style w:type="character" w:customStyle="1" w:styleId="47">
    <w:name w:val="副标题 字符"/>
    <w:link w:val="27"/>
    <w:qFormat/>
    <w:uiPriority w:val="0"/>
    <w:rPr>
      <w:rFonts w:ascii="黑体" w:hAnsi="黑体" w:eastAsia="黑体" w:cs="Times New Roman"/>
      <w:color w:val="auto"/>
      <w:kern w:val="28"/>
      <w:sz w:val="36"/>
      <w:szCs w:val="36"/>
    </w:rPr>
  </w:style>
  <w:style w:type="paragraph" w:customStyle="1" w:styleId="48">
    <w:name w:val="题注1"/>
    <w:basedOn w:val="1"/>
    <w:qFormat/>
    <w:uiPriority w:val="0"/>
    <w:pPr>
      <w:ind w:firstLine="0" w:firstLineChars="0"/>
    </w:pPr>
    <w:rPr>
      <w:rFonts w:hint="eastAsia"/>
      <w:sz w:val="20"/>
      <w:szCs w:val="20"/>
    </w:rPr>
  </w:style>
  <w:style w:type="paragraph" w:customStyle="1" w:styleId="49">
    <w:name w:val="文档说明标题"/>
    <w:next w:val="1"/>
    <w:qFormat/>
    <w:uiPriority w:val="0"/>
    <w:pPr>
      <w:keepNext/>
      <w:keepLines/>
      <w:tabs>
        <w:tab w:val="left" w:pos="0"/>
      </w:tabs>
      <w:adjustRightInd w:val="0"/>
      <w:snapToGrid w:val="0"/>
      <w:spacing w:line="720" w:lineRule="exact"/>
      <w:jc w:val="center"/>
      <w:outlineLvl w:val="0"/>
    </w:pPr>
    <w:rPr>
      <w:rFonts w:ascii="黑体" w:hAnsi="黑体" w:eastAsia="黑体" w:cstheme="minorBidi"/>
      <w:color w:val="auto"/>
      <w:kern w:val="44"/>
      <w:sz w:val="36"/>
      <w:szCs w:val="36"/>
      <w:lang w:val="en-US" w:eastAsia="zh-CN" w:bidi="ar-SA"/>
    </w:rPr>
  </w:style>
  <w:style w:type="paragraph" w:customStyle="1" w:styleId="50">
    <w:name w:val="节标题"/>
    <w:next w:val="1"/>
    <w:qFormat/>
    <w:uiPriority w:val="0"/>
    <w:pPr>
      <w:tabs>
        <w:tab w:val="left" w:pos="0"/>
      </w:tabs>
      <w:adjustRightInd w:val="0"/>
      <w:snapToGrid w:val="0"/>
      <w:spacing w:line="720" w:lineRule="exact"/>
      <w:jc w:val="center"/>
    </w:pPr>
    <w:rPr>
      <w:rFonts w:ascii="黑体" w:hAnsi="黑体" w:eastAsia="黑体" w:cstheme="minorBidi"/>
      <w:color w:val="auto"/>
      <w:sz w:val="32"/>
      <w:szCs w:val="32"/>
      <w:lang w:val="en-US" w:eastAsia="zh-CN" w:bidi="ar-SA"/>
    </w:rPr>
  </w:style>
  <w:style w:type="paragraph" w:customStyle="1" w:styleId="51">
    <w:name w:val="附录标题"/>
    <w:next w:val="4"/>
    <w:qFormat/>
    <w:uiPriority w:val="0"/>
    <w:pPr>
      <w:overflowPunct w:val="0"/>
      <w:topLinePunct/>
      <w:adjustRightInd w:val="0"/>
      <w:snapToGrid w:val="0"/>
      <w:spacing w:line="720" w:lineRule="exact"/>
      <w:jc w:val="center"/>
    </w:pPr>
    <w:rPr>
      <w:rFonts w:hint="eastAsia" w:ascii="黑体" w:hAnsi="黑体" w:eastAsia="黑体" w:cs="Times New Roman"/>
      <w:color w:val="auto"/>
      <w:sz w:val="36"/>
      <w:szCs w:val="36"/>
      <w:lang w:val="en-US" w:eastAsia="zh-CN" w:bidi="ar-SA"/>
    </w:rPr>
  </w:style>
  <w:style w:type="character" w:customStyle="1" w:styleId="52">
    <w:name w:val="参考文献条目"/>
    <w:basedOn w:val="35"/>
    <w:qFormat/>
    <w:uiPriority w:val="0"/>
    <w:rPr>
      <w:rFonts w:ascii="黑体" w:hAnsi="黑体" w:eastAsia="黑体" w:cs="Times New Roman"/>
      <w:color w:val="262626" w:themeColor="text1" w:themeTint="D9"/>
      <w:sz w:val="30"/>
      <w:szCs w:val="30"/>
      <w:lang w:val="en-US" w:eastAsia="zh-CN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53">
    <w:name w:val="着重标题"/>
    <w:basedOn w:val="35"/>
    <w:qFormat/>
    <w:uiPriority w:val="0"/>
    <w:rPr>
      <w:rFonts w:ascii="黑体" w:hAnsi="黑体" w:eastAsia="黑体" w:cs="Times New Roman"/>
      <w:color w:val="262626" w:themeColor="text1" w:themeTint="D9"/>
      <w:sz w:val="30"/>
      <w:szCs w:val="30"/>
      <w:lang w:val="en-US" w:eastAsia="zh-CN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54">
    <w:name w:val="正文文本 字符"/>
    <w:link w:val="4"/>
    <w:qFormat/>
    <w:uiPriority w:val="0"/>
    <w:rPr>
      <w:rFonts w:ascii="仿宋" w:hAnsi="仿宋" w:eastAsia="仿宋" w:cs="Times New Roman"/>
      <w:color w:val="auto"/>
      <w:spacing w:val="-6"/>
      <w:sz w:val="32"/>
      <w:szCs w:val="32"/>
    </w:rPr>
  </w:style>
  <w:style w:type="character" w:customStyle="1" w:styleId="55">
    <w:name w:val="标题 字符"/>
    <w:link w:val="31"/>
    <w:qFormat/>
    <w:uiPriority w:val="0"/>
    <w:rPr>
      <w:rFonts w:ascii="方正小标宋简体" w:hAnsi="方正小标宋简体" w:eastAsia="方正小标宋简体" w:cs="Times New Roman"/>
      <w:color w:val="262626" w:themeColor="text1" w:themeTint="D9"/>
      <w:sz w:val="44"/>
      <w:szCs w:val="44"/>
      <w:lang w:val="en-US" w:eastAsia="zh-CN" w:bidi="ar-SA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56">
    <w:name w:val="主送对象"/>
    <w:next w:val="4"/>
    <w:qFormat/>
    <w:uiPriority w:val="0"/>
    <w:pPr>
      <w:adjustRightInd w:val="0"/>
      <w:snapToGrid w:val="0"/>
      <w:spacing w:line="576" w:lineRule="exact"/>
    </w:pPr>
    <w:rPr>
      <w:rFonts w:hint="eastAsia" w:ascii="仿宋" w:hAnsi="仿宋" w:eastAsia="仿宋" w:cs="Times New Roman"/>
      <w:color w:val="auto"/>
      <w:sz w:val="32"/>
      <w:szCs w:val="32"/>
      <w:lang w:val="en-US" w:eastAsia="zh-CN" w:bidi="ar-SA"/>
    </w:rPr>
  </w:style>
  <w:style w:type="paragraph" w:customStyle="1" w:styleId="57">
    <w:name w:val="表格标题"/>
    <w:next w:val="1"/>
    <w:qFormat/>
    <w:uiPriority w:val="0"/>
    <w:pPr>
      <w:overflowPunct w:val="0"/>
      <w:topLinePunct/>
      <w:jc w:val="center"/>
    </w:pPr>
    <w:rPr>
      <w:rFonts w:hint="eastAsia" w:ascii="仿宋" w:hAnsi="仿宋" w:eastAsia="仿宋" w:cs="Times New Roman"/>
      <w:color w:val="262626" w:themeColor="text1" w:themeTint="D9"/>
      <w:spacing w:val="-6"/>
      <w:sz w:val="32"/>
      <w:szCs w:val="32"/>
      <w:lang w:val="en-US" w:eastAsia="zh-CN" w:bidi="ar-SA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58">
    <w:name w:val="摘要"/>
    <w:basedOn w:val="35"/>
    <w:qFormat/>
    <w:uiPriority w:val="0"/>
    <w:rPr>
      <w:rFonts w:hint="eastAsia" w:ascii="黑体" w:hAnsi="黑体" w:eastAsia="黑体"/>
      <w:color w:val="262626" w:themeColor="text1" w:themeTint="D9"/>
      <w:sz w:val="30"/>
      <w:szCs w:val="30"/>
      <w:lang w:val="en-US" w:eastAsia="zh-CN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59">
    <w:name w:val="关键词"/>
    <w:basedOn w:val="35"/>
    <w:qFormat/>
    <w:uiPriority w:val="0"/>
    <w:rPr>
      <w:rFonts w:hint="eastAsia" w:ascii="黑体" w:hAnsi="黑体" w:eastAsia="黑体"/>
      <w:color w:val="262626" w:themeColor="text1" w:themeTint="D9"/>
      <w:sz w:val="30"/>
      <w:szCs w:val="30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60">
    <w:name w:val="标题 1 Char"/>
    <w:link w:val="2"/>
    <w:uiPriority w:val="0"/>
    <w:rPr>
      <w:rFonts w:ascii="黑体" w:hAnsi="黑体" w:eastAsia="黑体" w:cs="Times New Roman"/>
      <w:color w:val="auto"/>
      <w:kern w:val="44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b8b35754-7640-460b-8221-a6dba2fd838c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5C2709B9</paraID>
      <start>17</start>
      <end>18</end>
      <status>modified</status>
      <modifiedWord>，</modifiedWord>
      <trackRevisions>false</trackRevisions>
    </reviewItem>
    <reviewItem>
      <errorID>bcd511d8-6aa1-47d1-b5a8-5396a0b02858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7EE52D20</paraID>
      <start>78</start>
      <end>79</end>
      <status>modified</status>
      <modifiedWord>，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61c22e55-ced7-432d-8301-c6d251dcd62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2699</Words>
  <Characters>2739</Characters>
  <Lines>0</Lines>
  <Paragraphs>0</Paragraphs>
  <TotalTime>18</TotalTime>
  <ScaleCrop>false</ScaleCrop>
  <LinksUpToDate>false</LinksUpToDate>
  <CharactersWithSpaces>2739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2026-04-16T02:57:00Z</dcterms:created>
  <dc:creator>黄方宇</dc:creator>
  <cp:lastModifiedBy>清风皓月</cp:lastModifiedBy>
  <dcterms:modified xsi:type="dcterms:W3CDTF">2026-06-16T06:24:05Z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B18F4C8CE45F400D9DF97F4077788EBB_11</vt:lpwstr>
  </property>
  <property fmtid="{D5CDD505-2E9C-101B-9397-08002B2CF9AE}" pid="4" name="KSOTemplateDocerSaveRecord">
    <vt:lpwstr>eyJoZGlkIjoiNGE0YzlmZmUxYzVmMjkyN2UzMjA5MTJiNWFmZjM4NzIiLCJ1c2VySWQiOiI2NDU0MDUxODUifQ==</vt:lpwstr>
  </property>
</Properties>
</file>